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F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2C3F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 w14:paraId="6E8E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重要子企业认定评分标准示例说明</w:t>
      </w:r>
    </w:p>
    <w:bookmarkEnd w:id="0"/>
    <w:p w14:paraId="7E03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3710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子企业认定评分标准是用于评估子企业是否符合“重要子企业”认定资格的量化工具。它通过设定一系列指标和分值，对子企业的战略功能、经济规模、风险影响以及科技创新能力等方面进行综合评价。以下是详细解读和举例说明，帮助理解评分标准：</w:t>
      </w:r>
    </w:p>
    <w:p w14:paraId="3181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一、评分规则</w:t>
      </w:r>
    </w:p>
    <w:p w14:paraId="0A8A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总分100分，≥70分认定为重要子企业。评分由以下四部分组成：</w:t>
      </w:r>
    </w:p>
    <w:p w14:paraId="6A6A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—战略功能类：最高40分</w:t>
      </w:r>
    </w:p>
    <w:p w14:paraId="547A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—经济规模类：最高35分</w:t>
      </w:r>
    </w:p>
    <w:p w14:paraId="764EC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—风险影响类：最高15分（可扣分）</w:t>
      </w:r>
    </w:p>
    <w:p w14:paraId="48FEA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—科技创新类：最高10分（可加分）</w:t>
      </w:r>
    </w:p>
    <w:p w14:paraId="5F6B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二、评分依据</w:t>
      </w:r>
    </w:p>
    <w:p w14:paraId="7483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  <w:t>（一）战略功能类（最高40分）</w:t>
      </w:r>
    </w:p>
    <w:p w14:paraId="7244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承担国家级项目：每项加8分</w:t>
      </w:r>
    </w:p>
    <w:p w14:paraId="221B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举例：某子企业承担了“国家级清洁能源示范项目”，可加8分。</w:t>
      </w:r>
    </w:p>
    <w:p w14:paraId="7B54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承担省级“四地”建设项目：每项加5分</w:t>
      </w:r>
    </w:p>
    <w:p w14:paraId="608B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举例：某子企业参与了“青海盐湖产业基地建设项目”，可加5分。</w:t>
      </w:r>
    </w:p>
    <w:p w14:paraId="20818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民生保障类企业：基础分10分</w:t>
      </w:r>
    </w:p>
    <w:p w14:paraId="3F2B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举例：某子企业负责全省公路建设，属于民生保障类企业，直接加10分。</w:t>
      </w:r>
    </w:p>
    <w:p w14:paraId="1E8CA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总分计算：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假设某子企业承担1个国家级项目、2个省级“四地”建设项目，并且是民生保障类企业，则战略功能类得分为：  </w:t>
      </w:r>
    </w:p>
    <w:p w14:paraId="34CC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 + 2×5 + 10 = 28分</w:t>
      </w:r>
    </w:p>
    <w:p w14:paraId="52D0B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  <w:t>（二）经济规模类（最高35分）</w:t>
      </w:r>
    </w:p>
    <w:p w14:paraId="5951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营业收入：连续两年营业收入占母公司合并报表10%以上，或绝对值超过2亿元，加10分。</w:t>
      </w:r>
    </w:p>
    <w:p w14:paraId="56E3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举例：某子企业2023年和2024年营业收入分别为6亿元和7亿元，母公司合并报表营业收入分别为60亿元和70亿元。该子企业营业收入占母公司比例分别为10%和10%，满足条件，加10分。</w:t>
      </w:r>
    </w:p>
    <w:p w14:paraId="79D4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净资产：净资产占母公司15%以上，或资产总额超过10亿元，加10分。</w:t>
      </w:r>
    </w:p>
    <w:p w14:paraId="392B9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举例：某子企业净资产为3亿元，母公司净资产为20亿元，净资产占比为15%，满足条件，加10分。</w:t>
      </w:r>
    </w:p>
    <w:p w14:paraId="25F80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净利润：净利润占母公司合并净利润15%以上，加10分。</w:t>
      </w:r>
    </w:p>
    <w:p w14:paraId="2C814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举例：某子企业2024年净利润为0.5亿元，母公司合并净利润为2亿元，净利润占比为25%，满足条件，加10分。</w:t>
      </w:r>
    </w:p>
    <w:p w14:paraId="57F6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控股上市公司：加5分。</w:t>
      </w:r>
    </w:p>
    <w:p w14:paraId="0235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举例：某子企业控股一家A股上市公司，加5分。</w:t>
      </w:r>
    </w:p>
    <w:p w14:paraId="28DF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总分计算：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假设某子企业满足营业收入、净资产、净利润条件，并且控股一家上市公司，则经济规模类得分为：</w:t>
      </w:r>
    </w:p>
    <w:p w14:paraId="5228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 + 10 + 10 + 5 = 35分 </w:t>
      </w:r>
    </w:p>
    <w:p w14:paraId="57F58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  <w:t>（三）风险影响类（最高15分，可扣分）</w:t>
      </w:r>
    </w:p>
    <w:p w14:paraId="6895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资产负债率：连续3年超过75%且资产规模排名集团前五，扣10分。</w:t>
      </w:r>
    </w:p>
    <w:p w14:paraId="0E7B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举例：某子企业2022年、2023年、2024年资产负债率分别为78%、80%、76%，并且资产规模排名集团前五，扣10分。</w:t>
      </w:r>
    </w:p>
    <w:p w14:paraId="62FA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位于生态红线区：扣2分。</w:t>
      </w:r>
    </w:p>
    <w:p w14:paraId="2233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举例：某子企业位于三江源保护区缓冲带，扣2分。</w:t>
      </w:r>
    </w:p>
    <w:p w14:paraId="036E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近3年无安全事故：加3分。</w:t>
      </w:r>
    </w:p>
    <w:p w14:paraId="147A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举例：某子企业近三年未发生重大安全生产事故或环保处罚，加3分。</w:t>
      </w:r>
    </w:p>
    <w:p w14:paraId="3096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总分计算：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假设某子企业资产负债率较高，位于生态红线区，但近三年无安全事故，则风险影响类得分为：</w:t>
      </w:r>
    </w:p>
    <w:p w14:paraId="40A6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-10 - 2 + 3 = -9分</w:t>
      </w:r>
    </w:p>
    <w:p w14:paraId="6D92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  <w:lang w:val="en-US" w:eastAsia="zh-CN"/>
        </w:rPr>
        <w:t>（四）科技创新类（最高10分，可加分）</w:t>
      </w:r>
    </w:p>
    <w:p w14:paraId="06107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国家级研发平台：加8分；省级研发平台：加5分</w:t>
      </w:r>
    </w:p>
    <w:p w14:paraId="05CD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举例：某子企业拥有国家级重点实验室，加8分；拥有省级技术中心等，加5分。</w:t>
      </w:r>
    </w:p>
    <w:p w14:paraId="5531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主导行业标准：加2分。</w:t>
      </w:r>
    </w:p>
    <w:p w14:paraId="1773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举例：某子企业主导制定了某项国家行业标准，加2分。</w:t>
      </w:r>
    </w:p>
    <w:p w14:paraId="7C5F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总分计算：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假设某子企业拥有国家级研发平台，并且主导了行业标准，则科技创新类得分为：</w:t>
      </w:r>
    </w:p>
    <w:p w14:paraId="0821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 + 2 = 10分</w:t>
      </w:r>
    </w:p>
    <w:p w14:paraId="75A7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三、综合评分</w:t>
      </w:r>
    </w:p>
    <w:p w14:paraId="0053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将上述四部分的得分相加，得出总分：</w:t>
      </w:r>
    </w:p>
    <w:p w14:paraId="211A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 + 35 - 9 + 10 = 64分</w:t>
      </w:r>
    </w:p>
    <w:p w14:paraId="78C9D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四、一票否决情形</w:t>
      </w:r>
    </w:p>
    <w:p w14:paraId="21E80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如果子企业存在以下情况之一，直接排除认定资格：</w:t>
      </w:r>
    </w:p>
    <w:p w14:paraId="616B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连续3年亏损且无明确扭亏方案。</w:t>
      </w:r>
    </w:p>
    <w:p w14:paraId="2767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被列入失信被执行人名单。</w:t>
      </w:r>
    </w:p>
    <w:p w14:paraId="351B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存在重大国有资产流失问题未整改完毕。</w:t>
      </w:r>
    </w:p>
    <w:p w14:paraId="6650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五、认定结果</w:t>
      </w:r>
    </w:p>
    <w:p w14:paraId="1E36F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根据评分规则，总分≥70分认定为重要子企业。上述例子中的子企业得分为64分，未达到70分，因此不能被认定为重要子企业。</w:t>
      </w:r>
    </w:p>
    <w:p w14:paraId="4502C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要子企业认定评分标准通过量化的方式，全面评估子企业在战略功能、经济规模、风险影响和科技创新等方面的表现。企业需要仔细对照评分标准，确保各项指标数据准确无误，并提供充分的证明材料，以提高被认定为重要子企业的可能性。</w:t>
      </w:r>
    </w:p>
    <w:p w14:paraId="0F58C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楷体">
    <w:altName w:val="楷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2025"/>
    <w:rsid w:val="280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2025-07-07T08:40:00Z</dcterms:created>
  <dc:creator>蛋黄给我</dc:creator>
  <cp:lastModifiedBy>蛋黄给我</cp:lastModifiedBy>
  <dcterms:modified xsi:type="dcterms:W3CDTF">2025-07-07T08:41:20Z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A7C8A93F35F64507A4373009A091EB0E_11</vt:lpwstr>
  </property>
  <property fmtid="{D5CDD505-2E9C-101B-9397-08002B2CF9AE}" pid="4" name="KSOTemplateDocerSaveRecord">
    <vt:lpwstr>eyJoZGlkIjoiMjU1YTBlNDhjZGU1ZTBlMzU3Y2E3NzQ5NTJhNTQ5ODAiLCJ1c2VySWQiOiIzMDMwMDg2MzAifQ==</vt:lpwstr>
  </property>
</Properties>
</file>